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57" w:rsidRPr="005818D7" w:rsidRDefault="006F2457" w:rsidP="006F2457">
      <w:pPr>
        <w:spacing w:after="0"/>
        <w:ind w:left="426"/>
        <w:jc w:val="center"/>
        <w:rPr>
          <w:rFonts w:ascii="Bookman Old Style" w:hAnsi="Bookman Old Style" w:cs="Times New Roman"/>
          <w:sz w:val="24"/>
          <w:szCs w:val="24"/>
        </w:rPr>
      </w:pPr>
      <w:r w:rsidRPr="005818D7">
        <w:rPr>
          <w:rFonts w:ascii="Bookman Old Style" w:hAnsi="Bookman Old Style" w:cs="Times New Roman"/>
          <w:sz w:val="24"/>
          <w:szCs w:val="24"/>
        </w:rPr>
        <w:t>INFORME N°12</w:t>
      </w:r>
    </w:p>
    <w:p w:rsidR="006F2457" w:rsidRPr="005818D7" w:rsidRDefault="006F2457" w:rsidP="006F2457">
      <w:pPr>
        <w:spacing w:after="0"/>
        <w:ind w:left="426"/>
        <w:jc w:val="center"/>
        <w:rPr>
          <w:rFonts w:ascii="Bookman Old Style" w:hAnsi="Bookman Old Style" w:cs="Times New Roman"/>
          <w:sz w:val="24"/>
          <w:szCs w:val="24"/>
        </w:rPr>
      </w:pPr>
      <w:r w:rsidRPr="005818D7">
        <w:rPr>
          <w:rFonts w:ascii="Bookman Old Style" w:hAnsi="Bookman Old Style" w:cs="Times New Roman"/>
          <w:sz w:val="24"/>
          <w:szCs w:val="24"/>
        </w:rPr>
        <w:t>RESOLUCIONES JUDICIALES PUBLICADAS POR</w:t>
      </w:r>
    </w:p>
    <w:p w:rsidR="006F2457" w:rsidRPr="005818D7" w:rsidRDefault="006F2457" w:rsidP="006F2457">
      <w:pPr>
        <w:spacing w:after="0"/>
        <w:ind w:left="426"/>
        <w:jc w:val="center"/>
        <w:rPr>
          <w:rFonts w:ascii="Bookman Old Style" w:hAnsi="Bookman Old Style" w:cs="Times New Roman"/>
          <w:sz w:val="24"/>
          <w:szCs w:val="24"/>
        </w:rPr>
      </w:pPr>
      <w:r w:rsidRPr="005818D7">
        <w:rPr>
          <w:rFonts w:ascii="Bookman Old Style" w:hAnsi="Bookman Old Style" w:cs="Times New Roman"/>
          <w:sz w:val="24"/>
          <w:szCs w:val="24"/>
        </w:rPr>
        <w:t>DIRECCIÓN DE COMUNICACIONES DEL PODER JUDICIAL</w:t>
      </w:r>
    </w:p>
    <w:p w:rsidR="006F2457" w:rsidRDefault="006F2457" w:rsidP="006F2457">
      <w:pPr>
        <w:spacing w:after="0"/>
        <w:ind w:left="426"/>
        <w:jc w:val="center"/>
        <w:rPr>
          <w:rFonts w:ascii="Bookman Old Style" w:hAnsi="Bookman Old Style" w:cs="Times New Roman"/>
          <w:sz w:val="24"/>
          <w:szCs w:val="24"/>
        </w:rPr>
      </w:pPr>
      <w:r w:rsidRPr="005818D7">
        <w:rPr>
          <w:rFonts w:ascii="Bookman Old Style" w:hAnsi="Bookman Old Style" w:cs="Times New Roman"/>
          <w:sz w:val="24"/>
          <w:szCs w:val="24"/>
        </w:rPr>
        <w:t>Semana del 13 al 17 de febrero 2017</w:t>
      </w:r>
    </w:p>
    <w:p w:rsidR="005818D7" w:rsidRDefault="005818D7" w:rsidP="006F2457">
      <w:pPr>
        <w:spacing w:after="0"/>
        <w:ind w:left="426"/>
        <w:jc w:val="center"/>
        <w:rPr>
          <w:rFonts w:ascii="Bookman Old Style" w:hAnsi="Bookman Old Style" w:cs="Times New Roman"/>
          <w:sz w:val="24"/>
          <w:szCs w:val="24"/>
        </w:rPr>
      </w:pPr>
    </w:p>
    <w:p w:rsidR="005818D7" w:rsidRDefault="005818D7" w:rsidP="005818D7">
      <w:pPr>
        <w:spacing w:after="0"/>
        <w:ind w:left="426"/>
        <w:jc w:val="center"/>
        <w:rPr>
          <w:rFonts w:ascii="Bookman Old Style" w:hAnsi="Bookman Old Style" w:cs="Times New Roman"/>
          <w:sz w:val="24"/>
          <w:szCs w:val="24"/>
        </w:rPr>
      </w:pPr>
    </w:p>
    <w:p w:rsidR="00571ECB" w:rsidRDefault="00571ECB" w:rsidP="005818D7">
      <w:pPr>
        <w:spacing w:after="0"/>
        <w:ind w:left="426"/>
        <w:jc w:val="center"/>
        <w:rPr>
          <w:rFonts w:ascii="Bookman Old Style" w:hAnsi="Bookman Old Style" w:cs="Times New Roman"/>
          <w:sz w:val="24"/>
          <w:szCs w:val="24"/>
        </w:rPr>
      </w:pPr>
    </w:p>
    <w:p w:rsidR="000A4738" w:rsidRDefault="000A4738" w:rsidP="00067AD8">
      <w:pPr>
        <w:spacing w:after="0"/>
        <w:ind w:left="426"/>
        <w:rPr>
          <w:rFonts w:ascii="Bookman Old Style" w:hAnsi="Bookman Old Style" w:cs="Times New Roman"/>
          <w:sz w:val="24"/>
          <w:szCs w:val="24"/>
        </w:rPr>
      </w:pPr>
    </w:p>
    <w:p w:rsidR="000A4738" w:rsidRPr="000A4738" w:rsidRDefault="000A4738" w:rsidP="000A4738">
      <w:pPr>
        <w:spacing w:after="0"/>
        <w:ind w:left="426"/>
        <w:rPr>
          <w:rFonts w:ascii="Bookman Old Style" w:hAnsi="Bookman Old Style" w:cs="Times New Roman"/>
          <w:sz w:val="24"/>
          <w:szCs w:val="24"/>
        </w:rPr>
      </w:pPr>
    </w:p>
    <w:p w:rsidR="000A4738" w:rsidRPr="000A4738" w:rsidRDefault="000A4738" w:rsidP="000A4738">
      <w:pPr>
        <w:spacing w:after="0"/>
        <w:ind w:left="426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</w:t>
      </w:r>
      <w:r w:rsidRPr="000A4738">
        <w:rPr>
          <w:rFonts w:ascii="Bookman Old Style" w:hAnsi="Bookman Old Style" w:cs="Times New Roman"/>
          <w:sz w:val="24"/>
          <w:szCs w:val="24"/>
        </w:rPr>
        <w:t xml:space="preserve">.-  El 16 de enero de 2017, la Segunda Sala de la I. Corte de Apelaciones de Santiago confirmó la sentencia del 17 Juzgado Civil de Santiago que condenó al Fisco a pagar $ 50.000.000 (cincuenta millones de pesos) a los familiares del ciudadano uruguayo don </w:t>
      </w:r>
      <w:proofErr w:type="spellStart"/>
      <w:r w:rsidRPr="000A4738">
        <w:rPr>
          <w:rFonts w:ascii="Bookman Old Style" w:hAnsi="Bookman Old Style" w:cs="Times New Roman"/>
          <w:sz w:val="24"/>
          <w:szCs w:val="24"/>
        </w:rPr>
        <w:t>Arazati</w:t>
      </w:r>
      <w:proofErr w:type="spellEnd"/>
      <w:r w:rsidRPr="000A4738">
        <w:rPr>
          <w:rFonts w:ascii="Bookman Old Style" w:hAnsi="Bookman Old Style" w:cs="Times New Roman"/>
          <w:sz w:val="24"/>
          <w:szCs w:val="24"/>
        </w:rPr>
        <w:t xml:space="preserve"> López </w:t>
      </w:r>
      <w:proofErr w:type="spellStart"/>
      <w:r w:rsidRPr="000A4738">
        <w:rPr>
          <w:rFonts w:ascii="Bookman Old Style" w:hAnsi="Bookman Old Style" w:cs="Times New Roman"/>
          <w:sz w:val="24"/>
          <w:szCs w:val="24"/>
        </w:rPr>
        <w:t>López</w:t>
      </w:r>
      <w:proofErr w:type="spellEnd"/>
      <w:r w:rsidRPr="000A4738">
        <w:rPr>
          <w:rFonts w:ascii="Bookman Old Style" w:hAnsi="Bookman Old Style" w:cs="Times New Roman"/>
          <w:sz w:val="24"/>
          <w:szCs w:val="24"/>
        </w:rPr>
        <w:t>, debido a que su cuerpo encontrado en el Patio 29 del Cementerio General, fue mal identificado en 1994 por el Servicio Médico Legal (SML) chileno.</w:t>
      </w:r>
    </w:p>
    <w:p w:rsidR="000A4738" w:rsidRPr="000A4738" w:rsidRDefault="000A4738" w:rsidP="000A4738">
      <w:pPr>
        <w:spacing w:after="0"/>
        <w:ind w:left="426"/>
        <w:rPr>
          <w:rFonts w:ascii="Bookman Old Style" w:hAnsi="Bookman Old Style" w:cs="Times New Roman"/>
          <w:sz w:val="24"/>
          <w:szCs w:val="24"/>
        </w:rPr>
      </w:pPr>
      <w:r w:rsidRPr="000A4738">
        <w:rPr>
          <w:rFonts w:ascii="Bookman Old Style" w:hAnsi="Bookman Old Style" w:cs="Times New Roman"/>
          <w:sz w:val="24"/>
          <w:szCs w:val="24"/>
        </w:rPr>
        <w:t>La comprobación de la errónea identificación ocurrió en 2009 por el propio SML, a través esta vez del ADN mitocondrial. Sus restos mal identificados habían sido repatriados a Uruguay en 1994.</w:t>
      </w:r>
    </w:p>
    <w:p w:rsidR="000A4738" w:rsidRPr="000A4738" w:rsidRDefault="000A4738" w:rsidP="000A4738">
      <w:pPr>
        <w:spacing w:after="0"/>
        <w:ind w:left="426"/>
        <w:rPr>
          <w:rFonts w:ascii="Bookman Old Style" w:hAnsi="Bookman Old Style" w:cs="Times New Roman"/>
          <w:sz w:val="24"/>
          <w:szCs w:val="24"/>
        </w:rPr>
      </w:pPr>
      <w:proofErr w:type="spellStart"/>
      <w:r w:rsidRPr="000A4738">
        <w:rPr>
          <w:rFonts w:ascii="Bookman Old Style" w:hAnsi="Bookman Old Style" w:cs="Times New Roman"/>
          <w:sz w:val="24"/>
          <w:szCs w:val="24"/>
        </w:rPr>
        <w:t>Arazati</w:t>
      </w:r>
      <w:proofErr w:type="spellEnd"/>
      <w:r w:rsidRPr="000A4738">
        <w:rPr>
          <w:rFonts w:ascii="Bookman Old Style" w:hAnsi="Bookman Old Style" w:cs="Times New Roman"/>
          <w:sz w:val="24"/>
          <w:szCs w:val="24"/>
        </w:rPr>
        <w:t xml:space="preserve"> López, militante de izquierda, ingresó a Chile en agosto de 1972 debido al golpe de Estado que se fraguaba en Uruguay, el que efectivamente ocurrió el 27 de junio de 1973.</w:t>
      </w:r>
    </w:p>
    <w:p w:rsidR="000A4738" w:rsidRDefault="000068C7" w:rsidP="000068C7">
      <w:pPr>
        <w:spacing w:after="0"/>
        <w:ind w:left="426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L</w:t>
      </w:r>
      <w:r w:rsidR="002E72F4" w:rsidRPr="002E72F4">
        <w:rPr>
          <w:rFonts w:ascii="Bookman Old Style" w:hAnsi="Bookman Old Style" w:cs="Times New Roman"/>
          <w:sz w:val="24"/>
          <w:szCs w:val="24"/>
        </w:rPr>
        <w:t>a Unidad Programa de Derechos Humanos no interviene en las demandas civiles indemnizatorias derivadas de los delitos de lesa humanidad.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0A4738" w:rsidRPr="006D7E43">
        <w:rPr>
          <w:rFonts w:ascii="Bookman Old Style" w:hAnsi="Bookman Old Style" w:cs="Times New Roman"/>
          <w:i/>
          <w:sz w:val="24"/>
          <w:szCs w:val="24"/>
        </w:rPr>
        <w:t>(Se adjuntan ambos fallos).</w:t>
      </w:r>
    </w:p>
    <w:p w:rsidR="000A4738" w:rsidRDefault="000A4738" w:rsidP="00067AD8">
      <w:pPr>
        <w:spacing w:after="0"/>
        <w:ind w:left="426"/>
        <w:rPr>
          <w:rFonts w:ascii="Bookman Old Style" w:hAnsi="Bookman Old Style" w:cs="Times New Roman"/>
          <w:sz w:val="24"/>
          <w:szCs w:val="24"/>
        </w:rPr>
      </w:pPr>
    </w:p>
    <w:p w:rsidR="0012656A" w:rsidRDefault="0012656A" w:rsidP="002A20B4">
      <w:pPr>
        <w:tabs>
          <w:tab w:val="left" w:pos="142"/>
        </w:tabs>
        <w:spacing w:after="0"/>
        <w:ind w:left="426"/>
        <w:rPr>
          <w:rFonts w:ascii="Bookman Old Style" w:hAnsi="Bookman Old Style" w:cs="Times New Roman"/>
          <w:sz w:val="24"/>
          <w:szCs w:val="24"/>
        </w:rPr>
      </w:pPr>
    </w:p>
    <w:p w:rsidR="00806781" w:rsidRPr="00806781" w:rsidRDefault="00806781" w:rsidP="002A20B4">
      <w:pPr>
        <w:tabs>
          <w:tab w:val="left" w:pos="142"/>
        </w:tabs>
        <w:spacing w:after="0"/>
        <w:ind w:left="426"/>
        <w:rPr>
          <w:rFonts w:ascii="Bookman Old Style" w:hAnsi="Bookman Old Style" w:cs="Times New Roman"/>
          <w:sz w:val="24"/>
          <w:szCs w:val="24"/>
        </w:rPr>
      </w:pPr>
      <w:r w:rsidRPr="00806781">
        <w:rPr>
          <w:rFonts w:ascii="Bookman Old Style" w:hAnsi="Bookman Old Style" w:cs="Times New Roman"/>
          <w:sz w:val="24"/>
          <w:szCs w:val="24"/>
        </w:rPr>
        <w:t xml:space="preserve">2.-   El 23 de enero de 2017, la Sala Penal de la E. Corte Suprema, confirmó las condenas contra los ex agentes de la DINA: Miguel </w:t>
      </w:r>
      <w:proofErr w:type="spellStart"/>
      <w:r w:rsidRPr="00806781">
        <w:rPr>
          <w:rFonts w:ascii="Bookman Old Style" w:hAnsi="Bookman Old Style" w:cs="Times New Roman"/>
          <w:sz w:val="24"/>
          <w:szCs w:val="24"/>
        </w:rPr>
        <w:t>Krassnoff</w:t>
      </w:r>
      <w:proofErr w:type="spellEnd"/>
      <w:r w:rsidRPr="0080678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806781">
        <w:rPr>
          <w:rFonts w:ascii="Bookman Old Style" w:hAnsi="Bookman Old Style" w:cs="Times New Roman"/>
          <w:sz w:val="24"/>
          <w:szCs w:val="24"/>
        </w:rPr>
        <w:t>Martchenko</w:t>
      </w:r>
      <w:proofErr w:type="spellEnd"/>
      <w:r w:rsidRPr="00806781">
        <w:rPr>
          <w:rFonts w:ascii="Bookman Old Style" w:hAnsi="Bookman Old Style" w:cs="Times New Roman"/>
          <w:sz w:val="24"/>
          <w:szCs w:val="24"/>
        </w:rPr>
        <w:t xml:space="preserve">, a 7 años de presidio, Maximiliano Ferrer Lima y </w:t>
      </w:r>
      <w:proofErr w:type="spellStart"/>
      <w:r w:rsidRPr="00806781">
        <w:rPr>
          <w:rFonts w:ascii="Bookman Old Style" w:hAnsi="Bookman Old Style" w:cs="Times New Roman"/>
          <w:sz w:val="24"/>
          <w:szCs w:val="24"/>
        </w:rPr>
        <w:t>Basclay</w:t>
      </w:r>
      <w:proofErr w:type="spellEnd"/>
      <w:r w:rsidRPr="00806781">
        <w:rPr>
          <w:rFonts w:ascii="Bookman Old Style" w:hAnsi="Bookman Old Style" w:cs="Times New Roman"/>
          <w:sz w:val="24"/>
          <w:szCs w:val="24"/>
        </w:rPr>
        <w:t xml:space="preserve"> Zapata Reyes, a 5 años y un día</w:t>
      </w:r>
      <w:r w:rsidR="008E5D9D">
        <w:rPr>
          <w:rFonts w:ascii="Bookman Old Style" w:hAnsi="Bookman Old Style" w:cs="Times New Roman"/>
          <w:sz w:val="24"/>
          <w:szCs w:val="24"/>
        </w:rPr>
        <w:t xml:space="preserve"> de presidio</w:t>
      </w:r>
      <w:r w:rsidRPr="00806781">
        <w:rPr>
          <w:rFonts w:ascii="Bookman Old Style" w:hAnsi="Bookman Old Style" w:cs="Times New Roman"/>
          <w:sz w:val="24"/>
          <w:szCs w:val="24"/>
        </w:rPr>
        <w:t xml:space="preserve">, como autores del delito de tortura en contra de las prisioneras: doña Gloria Lazo </w:t>
      </w:r>
      <w:proofErr w:type="spellStart"/>
      <w:r w:rsidRPr="00806781">
        <w:rPr>
          <w:rFonts w:ascii="Bookman Old Style" w:hAnsi="Bookman Old Style" w:cs="Times New Roman"/>
          <w:sz w:val="24"/>
          <w:szCs w:val="24"/>
        </w:rPr>
        <w:t>Lezaeta</w:t>
      </w:r>
      <w:proofErr w:type="spellEnd"/>
      <w:r w:rsidRPr="00806781">
        <w:rPr>
          <w:rFonts w:ascii="Bookman Old Style" w:hAnsi="Bookman Old Style" w:cs="Times New Roman"/>
          <w:sz w:val="24"/>
          <w:szCs w:val="24"/>
        </w:rPr>
        <w:t xml:space="preserve">, doña Viviana Uribe </w:t>
      </w:r>
      <w:proofErr w:type="spellStart"/>
      <w:r w:rsidRPr="00806781">
        <w:rPr>
          <w:rFonts w:ascii="Bookman Old Style" w:hAnsi="Bookman Old Style" w:cs="Times New Roman"/>
          <w:sz w:val="24"/>
          <w:szCs w:val="24"/>
        </w:rPr>
        <w:t>Tamblay</w:t>
      </w:r>
      <w:proofErr w:type="spellEnd"/>
      <w:r w:rsidRPr="00806781">
        <w:rPr>
          <w:rFonts w:ascii="Bookman Old Style" w:hAnsi="Bookman Old Style" w:cs="Times New Roman"/>
          <w:sz w:val="24"/>
          <w:szCs w:val="24"/>
        </w:rPr>
        <w:t xml:space="preserve">, doña Mónica Uribe </w:t>
      </w:r>
      <w:proofErr w:type="spellStart"/>
      <w:r w:rsidRPr="00806781">
        <w:rPr>
          <w:rFonts w:ascii="Bookman Old Style" w:hAnsi="Bookman Old Style" w:cs="Times New Roman"/>
          <w:sz w:val="24"/>
          <w:szCs w:val="24"/>
        </w:rPr>
        <w:t>Tamblay</w:t>
      </w:r>
      <w:proofErr w:type="spellEnd"/>
      <w:r w:rsidRPr="00806781">
        <w:rPr>
          <w:rFonts w:ascii="Bookman Old Style" w:hAnsi="Bookman Old Style" w:cs="Times New Roman"/>
          <w:sz w:val="24"/>
          <w:szCs w:val="24"/>
        </w:rPr>
        <w:t xml:space="preserve">, doña María Hernández </w:t>
      </w:r>
      <w:proofErr w:type="spellStart"/>
      <w:r w:rsidRPr="00806781">
        <w:rPr>
          <w:rFonts w:ascii="Bookman Old Style" w:hAnsi="Bookman Old Style" w:cs="Times New Roman"/>
          <w:sz w:val="24"/>
          <w:szCs w:val="24"/>
        </w:rPr>
        <w:t>Croquevielle</w:t>
      </w:r>
      <w:proofErr w:type="spellEnd"/>
      <w:r w:rsidRPr="00806781">
        <w:rPr>
          <w:rFonts w:ascii="Bookman Old Style" w:hAnsi="Bookman Old Style" w:cs="Times New Roman"/>
          <w:sz w:val="24"/>
          <w:szCs w:val="24"/>
        </w:rPr>
        <w:t xml:space="preserve">, doña Amanda de </w:t>
      </w:r>
      <w:proofErr w:type="spellStart"/>
      <w:r w:rsidRPr="00806781">
        <w:rPr>
          <w:rFonts w:ascii="Bookman Old Style" w:hAnsi="Bookman Old Style" w:cs="Times New Roman"/>
          <w:sz w:val="24"/>
          <w:szCs w:val="24"/>
        </w:rPr>
        <w:t>Negri</w:t>
      </w:r>
      <w:proofErr w:type="spellEnd"/>
      <w:r w:rsidRPr="00806781">
        <w:rPr>
          <w:rFonts w:ascii="Bookman Old Style" w:hAnsi="Bookman Old Style" w:cs="Times New Roman"/>
          <w:sz w:val="24"/>
          <w:szCs w:val="24"/>
        </w:rPr>
        <w:t xml:space="preserve"> Quintana y doña María Reyes Noriega. Los ilícitos ocurrieron entre septiembre y octubre de 1974 en el centro clandestino de José Domingo Cañas 1367 en la comuna de Ñuñoa en Santiago.</w:t>
      </w:r>
    </w:p>
    <w:p w:rsidR="00806781" w:rsidRPr="00806781" w:rsidRDefault="00806781" w:rsidP="00806781">
      <w:pPr>
        <w:spacing w:after="0"/>
        <w:ind w:left="426"/>
        <w:rPr>
          <w:rFonts w:ascii="Bookman Old Style" w:hAnsi="Bookman Old Style" w:cs="Times New Roman"/>
          <w:sz w:val="24"/>
          <w:szCs w:val="24"/>
        </w:rPr>
      </w:pPr>
      <w:r w:rsidRPr="00806781">
        <w:rPr>
          <w:rFonts w:ascii="Bookman Old Style" w:hAnsi="Bookman Old Style" w:cs="Times New Roman"/>
          <w:sz w:val="24"/>
          <w:szCs w:val="24"/>
        </w:rPr>
        <w:t>En el aspecto civil se condenó al Fisco a pagar $ 50.000.000 (cincuenta millones de pesos) a cada una de las víctimas.</w:t>
      </w:r>
    </w:p>
    <w:p w:rsidR="006821CD" w:rsidRPr="000978A0" w:rsidRDefault="00AD78A3" w:rsidP="000978A0">
      <w:pPr>
        <w:spacing w:after="0"/>
        <w:ind w:left="426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 xml:space="preserve">La Unidad </w:t>
      </w:r>
      <w:r w:rsidR="00E32984">
        <w:rPr>
          <w:rFonts w:ascii="Bookman Old Style" w:hAnsi="Bookman Old Style" w:cs="Times New Roman"/>
          <w:sz w:val="24"/>
          <w:szCs w:val="24"/>
        </w:rPr>
        <w:t>Programa de Derechos Humanos no</w:t>
      </w:r>
      <w:r w:rsidR="00806781" w:rsidRPr="00806781">
        <w:rPr>
          <w:rFonts w:ascii="Bookman Old Style" w:hAnsi="Bookman Old Style" w:cs="Times New Roman"/>
          <w:sz w:val="24"/>
          <w:szCs w:val="24"/>
        </w:rPr>
        <w:t xml:space="preserve"> </w:t>
      </w:r>
      <w:r w:rsidR="00E32984">
        <w:rPr>
          <w:rFonts w:ascii="Bookman Old Style" w:hAnsi="Bookman Old Style" w:cs="Times New Roman"/>
          <w:sz w:val="24"/>
          <w:szCs w:val="24"/>
        </w:rPr>
        <w:t xml:space="preserve">intervino en esta causa por tratarse de delitos de tortura sufridos por víctimas sobrevivientes </w:t>
      </w:r>
      <w:bookmarkStart w:id="0" w:name="_GoBack"/>
      <w:bookmarkEnd w:id="0"/>
      <w:r w:rsidR="00E32984">
        <w:rPr>
          <w:rFonts w:ascii="Bookman Old Style" w:hAnsi="Bookman Old Style" w:cs="Times New Roman"/>
          <w:sz w:val="24"/>
          <w:szCs w:val="24"/>
        </w:rPr>
        <w:t xml:space="preserve">de la dictadura cívico-militar, </w:t>
      </w:r>
      <w:r w:rsidR="000978A0">
        <w:rPr>
          <w:rFonts w:ascii="Bookman Old Style" w:hAnsi="Bookman Old Style" w:cs="Times New Roman"/>
          <w:sz w:val="24"/>
          <w:szCs w:val="24"/>
        </w:rPr>
        <w:t xml:space="preserve"> </w:t>
      </w:r>
      <w:r w:rsidR="00806781" w:rsidRPr="002A20B4">
        <w:rPr>
          <w:rFonts w:ascii="Bookman Old Style" w:hAnsi="Bookman Old Style" w:cs="Times New Roman"/>
          <w:i/>
          <w:sz w:val="24"/>
          <w:szCs w:val="24"/>
        </w:rPr>
        <w:t>(Se adjunta fallo).</w:t>
      </w:r>
    </w:p>
    <w:p w:rsidR="00BD23EA" w:rsidRDefault="00BD23EA" w:rsidP="006821CD">
      <w:pPr>
        <w:spacing w:after="0"/>
        <w:ind w:left="426"/>
        <w:rPr>
          <w:rFonts w:ascii="Bookman Old Style" w:hAnsi="Bookman Old Style" w:cs="Times New Roman"/>
          <w:sz w:val="24"/>
          <w:szCs w:val="24"/>
        </w:rPr>
      </w:pPr>
    </w:p>
    <w:p w:rsidR="00BD23EA" w:rsidRDefault="00BD23EA" w:rsidP="006821CD">
      <w:pPr>
        <w:spacing w:after="0"/>
        <w:ind w:left="426"/>
        <w:rPr>
          <w:rFonts w:ascii="Bookman Old Style" w:hAnsi="Bookman Old Style" w:cs="Times New Roman"/>
          <w:sz w:val="24"/>
          <w:szCs w:val="24"/>
        </w:rPr>
      </w:pPr>
    </w:p>
    <w:p w:rsidR="00806781" w:rsidRPr="006821CD" w:rsidRDefault="00806781" w:rsidP="006821CD">
      <w:pPr>
        <w:spacing w:after="0"/>
        <w:ind w:left="426"/>
        <w:rPr>
          <w:rFonts w:ascii="Bookman Old Style" w:hAnsi="Bookman Old Style" w:cs="Times New Roman"/>
          <w:i/>
          <w:sz w:val="24"/>
          <w:szCs w:val="24"/>
        </w:rPr>
      </w:pPr>
      <w:r w:rsidRPr="00806781">
        <w:rPr>
          <w:rFonts w:ascii="Bookman Old Style" w:hAnsi="Bookman Old Style" w:cs="Times New Roman"/>
          <w:sz w:val="24"/>
          <w:szCs w:val="24"/>
        </w:rPr>
        <w:t xml:space="preserve">3.-   El 23 de enero de 2017, la Sala Penal de la E. Corte Suprema confirmó las condenas a 5 años y un día </w:t>
      </w:r>
      <w:r w:rsidR="00F01F21">
        <w:rPr>
          <w:rFonts w:ascii="Bookman Old Style" w:hAnsi="Bookman Old Style" w:cs="Times New Roman"/>
          <w:sz w:val="24"/>
          <w:szCs w:val="24"/>
        </w:rPr>
        <w:t xml:space="preserve">de presidio </w:t>
      </w:r>
      <w:r w:rsidRPr="00806781">
        <w:rPr>
          <w:rFonts w:ascii="Bookman Old Style" w:hAnsi="Bookman Old Style" w:cs="Times New Roman"/>
          <w:sz w:val="24"/>
          <w:szCs w:val="24"/>
        </w:rPr>
        <w:t xml:space="preserve">en contra de los ex agentes de la DINA, Ricardo Lawrence Mires, </w:t>
      </w:r>
      <w:proofErr w:type="spellStart"/>
      <w:r w:rsidRPr="00806781">
        <w:rPr>
          <w:rFonts w:ascii="Bookman Old Style" w:hAnsi="Bookman Old Style" w:cs="Times New Roman"/>
          <w:sz w:val="24"/>
          <w:szCs w:val="24"/>
        </w:rPr>
        <w:t>Basclay</w:t>
      </w:r>
      <w:proofErr w:type="spellEnd"/>
      <w:r w:rsidRPr="00806781">
        <w:rPr>
          <w:rFonts w:ascii="Bookman Old Style" w:hAnsi="Bookman Old Style" w:cs="Times New Roman"/>
          <w:sz w:val="24"/>
          <w:szCs w:val="24"/>
        </w:rPr>
        <w:t xml:space="preserve"> Zapata Reyes y Fernando </w:t>
      </w:r>
      <w:proofErr w:type="spellStart"/>
      <w:r w:rsidRPr="00806781">
        <w:rPr>
          <w:rFonts w:ascii="Bookman Old Style" w:hAnsi="Bookman Old Style" w:cs="Times New Roman"/>
          <w:sz w:val="24"/>
          <w:szCs w:val="24"/>
        </w:rPr>
        <w:t>Lauriani</w:t>
      </w:r>
      <w:proofErr w:type="spellEnd"/>
      <w:r w:rsidRPr="00806781">
        <w:rPr>
          <w:rFonts w:ascii="Bookman Old Style" w:hAnsi="Bookman Old Style" w:cs="Times New Roman"/>
          <w:sz w:val="24"/>
          <w:szCs w:val="24"/>
        </w:rPr>
        <w:t xml:space="preserve"> Maturana, por el delito de tortura cometido en contra del matrimonio integrado por doña Rosalía Martínez Cereceda y don Julio </w:t>
      </w:r>
      <w:proofErr w:type="spellStart"/>
      <w:r w:rsidRPr="00806781">
        <w:rPr>
          <w:rFonts w:ascii="Bookman Old Style" w:hAnsi="Bookman Old Style" w:cs="Times New Roman"/>
          <w:sz w:val="24"/>
          <w:szCs w:val="24"/>
        </w:rPr>
        <w:t>Laks</w:t>
      </w:r>
      <w:proofErr w:type="spellEnd"/>
      <w:r w:rsidRPr="0080678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806781">
        <w:rPr>
          <w:rFonts w:ascii="Bookman Old Style" w:hAnsi="Bookman Old Style" w:cs="Times New Roman"/>
          <w:sz w:val="24"/>
          <w:szCs w:val="24"/>
        </w:rPr>
        <w:t>Feller</w:t>
      </w:r>
      <w:proofErr w:type="spellEnd"/>
      <w:r w:rsidRPr="00806781">
        <w:rPr>
          <w:rFonts w:ascii="Bookman Old Style" w:hAnsi="Bookman Old Style" w:cs="Times New Roman"/>
          <w:sz w:val="24"/>
          <w:szCs w:val="24"/>
        </w:rPr>
        <w:t>, ilícitos ocurridos entre los días 22 y 23 de septiembre de 1974 en el cuartel clandestino de José Domingo Cañas 1367.</w:t>
      </w:r>
    </w:p>
    <w:p w:rsidR="00806781" w:rsidRPr="00806781" w:rsidRDefault="00806781" w:rsidP="00806781">
      <w:pPr>
        <w:spacing w:after="0"/>
        <w:ind w:left="426"/>
        <w:rPr>
          <w:rFonts w:ascii="Bookman Old Style" w:hAnsi="Bookman Old Style" w:cs="Times New Roman"/>
          <w:sz w:val="24"/>
          <w:szCs w:val="24"/>
        </w:rPr>
      </w:pPr>
      <w:r w:rsidRPr="00806781">
        <w:rPr>
          <w:rFonts w:ascii="Bookman Old Style" w:hAnsi="Bookman Old Style" w:cs="Times New Roman"/>
          <w:sz w:val="24"/>
          <w:szCs w:val="24"/>
        </w:rPr>
        <w:t>En el aspecto civil la resolución condenó al Fisco a pagar $ 50.000.000 (cincuenta millones de pesos) a cada una de las víctimas.</w:t>
      </w:r>
    </w:p>
    <w:p w:rsidR="00806781" w:rsidRDefault="00F01F21" w:rsidP="00806781">
      <w:pPr>
        <w:spacing w:after="0"/>
        <w:ind w:left="426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La </w:t>
      </w:r>
      <w:r w:rsidR="00F46222">
        <w:rPr>
          <w:rFonts w:ascii="Bookman Old Style" w:hAnsi="Bookman Old Style" w:cs="Times New Roman"/>
          <w:sz w:val="24"/>
          <w:szCs w:val="24"/>
        </w:rPr>
        <w:t xml:space="preserve">Unidad </w:t>
      </w:r>
      <w:r w:rsidR="00806781" w:rsidRPr="00806781">
        <w:rPr>
          <w:rFonts w:ascii="Bookman Old Style" w:hAnsi="Bookman Old Style" w:cs="Times New Roman"/>
          <w:sz w:val="24"/>
          <w:szCs w:val="24"/>
        </w:rPr>
        <w:t>Programa de Derechos Hu</w:t>
      </w:r>
      <w:r>
        <w:rPr>
          <w:rFonts w:ascii="Bookman Old Style" w:hAnsi="Bookman Old Style" w:cs="Times New Roman"/>
          <w:sz w:val="24"/>
          <w:szCs w:val="24"/>
        </w:rPr>
        <w:t xml:space="preserve">manos no intervino en esta causa por tratarse de </w:t>
      </w:r>
      <w:r w:rsidR="00CC3E28">
        <w:rPr>
          <w:rFonts w:ascii="Bookman Old Style" w:hAnsi="Bookman Old Style" w:cs="Times New Roman"/>
          <w:sz w:val="24"/>
          <w:szCs w:val="24"/>
        </w:rPr>
        <w:t xml:space="preserve">torturas sufridas por </w:t>
      </w:r>
      <w:r>
        <w:rPr>
          <w:rFonts w:ascii="Bookman Old Style" w:hAnsi="Bookman Old Style" w:cs="Times New Roman"/>
          <w:sz w:val="24"/>
          <w:szCs w:val="24"/>
        </w:rPr>
        <w:t xml:space="preserve">víctimas sobrevivientes. </w:t>
      </w:r>
      <w:r w:rsidR="00806781" w:rsidRPr="009608DB">
        <w:rPr>
          <w:rFonts w:ascii="Bookman Old Style" w:hAnsi="Bookman Old Style" w:cs="Times New Roman"/>
          <w:i/>
          <w:sz w:val="24"/>
          <w:szCs w:val="24"/>
        </w:rPr>
        <w:t>(Se adjunta resolución).</w:t>
      </w:r>
    </w:p>
    <w:p w:rsidR="00806781" w:rsidRDefault="00806781" w:rsidP="00067AD8">
      <w:pPr>
        <w:spacing w:after="0"/>
        <w:ind w:left="426"/>
        <w:rPr>
          <w:rFonts w:ascii="Bookman Old Style" w:hAnsi="Bookman Old Style" w:cs="Times New Roman"/>
          <w:sz w:val="24"/>
          <w:szCs w:val="24"/>
        </w:rPr>
      </w:pPr>
    </w:p>
    <w:p w:rsidR="00313D57" w:rsidRDefault="00313D57" w:rsidP="00381795">
      <w:pPr>
        <w:spacing w:after="0"/>
        <w:ind w:left="426"/>
        <w:rPr>
          <w:rFonts w:ascii="Bookman Old Style" w:hAnsi="Bookman Old Style" w:cs="Times New Roman"/>
          <w:sz w:val="24"/>
          <w:szCs w:val="24"/>
        </w:rPr>
      </w:pPr>
    </w:p>
    <w:p w:rsidR="00381795" w:rsidRPr="00381795" w:rsidRDefault="002B4796" w:rsidP="00381795">
      <w:pPr>
        <w:spacing w:after="0"/>
        <w:ind w:left="426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4</w:t>
      </w:r>
      <w:r w:rsidR="00381795" w:rsidRPr="00381795">
        <w:rPr>
          <w:rFonts w:ascii="Bookman Old Style" w:hAnsi="Bookman Old Style" w:cs="Times New Roman"/>
          <w:sz w:val="24"/>
          <w:szCs w:val="24"/>
        </w:rPr>
        <w:t xml:space="preserve">.-   El 30 de enero de 2017, en fallo unánime la Séptima Sala de la I. Corte de Apelaciones de Santiago revocó la sentencia denegatoria del 28 Juzgado Civil de Santiago y condenó al Fisco a pagar $ 100.000.000 (cien millones de pesos) al ex prisionero político don Ismael Lastra </w:t>
      </w:r>
      <w:proofErr w:type="spellStart"/>
      <w:r w:rsidR="00381795" w:rsidRPr="00381795">
        <w:rPr>
          <w:rFonts w:ascii="Bookman Old Style" w:hAnsi="Bookman Old Style" w:cs="Times New Roman"/>
          <w:sz w:val="24"/>
          <w:szCs w:val="24"/>
        </w:rPr>
        <w:t>Goycolea</w:t>
      </w:r>
      <w:proofErr w:type="spellEnd"/>
      <w:r w:rsidR="00381795" w:rsidRPr="00381795">
        <w:rPr>
          <w:rFonts w:ascii="Bookman Old Style" w:hAnsi="Bookman Old Style" w:cs="Times New Roman"/>
          <w:sz w:val="24"/>
          <w:szCs w:val="24"/>
        </w:rPr>
        <w:t>, por las torturas que agentes del Estado le infligieron en 1974.</w:t>
      </w:r>
    </w:p>
    <w:p w:rsidR="00381795" w:rsidRPr="00381795" w:rsidRDefault="00381795" w:rsidP="00381795">
      <w:pPr>
        <w:spacing w:after="0"/>
        <w:ind w:left="426"/>
        <w:rPr>
          <w:rFonts w:ascii="Bookman Old Style" w:hAnsi="Bookman Old Style" w:cs="Times New Roman"/>
          <w:sz w:val="24"/>
          <w:szCs w:val="24"/>
        </w:rPr>
      </w:pPr>
      <w:r w:rsidRPr="00381795">
        <w:rPr>
          <w:rFonts w:ascii="Bookman Old Style" w:hAnsi="Bookman Old Style" w:cs="Times New Roman"/>
          <w:sz w:val="24"/>
          <w:szCs w:val="24"/>
        </w:rPr>
        <w:t>En su fundamento principal la Séptima Sala r</w:t>
      </w:r>
      <w:r w:rsidR="00E36F7F">
        <w:rPr>
          <w:rFonts w:ascii="Bookman Old Style" w:hAnsi="Bookman Old Style" w:cs="Times New Roman"/>
          <w:sz w:val="24"/>
          <w:szCs w:val="24"/>
        </w:rPr>
        <w:t xml:space="preserve">echazó la tesis, tanto del </w:t>
      </w:r>
      <w:r w:rsidRPr="00381795">
        <w:rPr>
          <w:rFonts w:ascii="Bookman Old Style" w:hAnsi="Bookman Old Style" w:cs="Times New Roman"/>
          <w:sz w:val="24"/>
          <w:szCs w:val="24"/>
        </w:rPr>
        <w:t>28 Juzgado Civil</w:t>
      </w:r>
      <w:r w:rsidR="00E36F7F">
        <w:rPr>
          <w:rFonts w:ascii="Bookman Old Style" w:hAnsi="Bookman Old Style" w:cs="Times New Roman"/>
          <w:sz w:val="24"/>
          <w:szCs w:val="24"/>
        </w:rPr>
        <w:t xml:space="preserve"> de Santiago, como</w:t>
      </w:r>
      <w:r w:rsidRPr="00381795">
        <w:rPr>
          <w:rFonts w:ascii="Bookman Old Style" w:hAnsi="Bookman Old Style" w:cs="Times New Roman"/>
          <w:sz w:val="24"/>
          <w:szCs w:val="24"/>
        </w:rPr>
        <w:t xml:space="preserve"> del Consejo de Defensa del E</w:t>
      </w:r>
      <w:r w:rsidR="00E36F7F">
        <w:rPr>
          <w:rFonts w:ascii="Bookman Old Style" w:hAnsi="Bookman Old Style" w:cs="Times New Roman"/>
          <w:sz w:val="24"/>
          <w:szCs w:val="24"/>
        </w:rPr>
        <w:t>stado, los que</w:t>
      </w:r>
      <w:r w:rsidRPr="00381795">
        <w:rPr>
          <w:rFonts w:ascii="Bookman Old Style" w:hAnsi="Bookman Old Style" w:cs="Times New Roman"/>
          <w:sz w:val="24"/>
          <w:szCs w:val="24"/>
        </w:rPr>
        <w:t xml:space="preserve"> para rechazar la indemnización por daño invocada por Lastra </w:t>
      </w:r>
      <w:proofErr w:type="spellStart"/>
      <w:r w:rsidRPr="00381795">
        <w:rPr>
          <w:rFonts w:ascii="Bookman Old Style" w:hAnsi="Bookman Old Style" w:cs="Times New Roman"/>
          <w:sz w:val="24"/>
          <w:szCs w:val="24"/>
        </w:rPr>
        <w:t>Goycolea</w:t>
      </w:r>
      <w:proofErr w:type="spellEnd"/>
      <w:r w:rsidRPr="00381795">
        <w:rPr>
          <w:rFonts w:ascii="Bookman Old Style" w:hAnsi="Bookman Old Style" w:cs="Times New Roman"/>
          <w:sz w:val="24"/>
          <w:szCs w:val="24"/>
        </w:rPr>
        <w:t xml:space="preserve">, coincidieron en que, si bien la tortura ejercida contra el prisionero bajo la pasada dictadura cívico-militar constituye un delito de lesa humanidad </w:t>
      </w:r>
      <w:proofErr w:type="spellStart"/>
      <w:r w:rsidRPr="00381795">
        <w:rPr>
          <w:rFonts w:ascii="Bookman Old Style" w:hAnsi="Bookman Old Style" w:cs="Times New Roman"/>
          <w:sz w:val="24"/>
          <w:szCs w:val="24"/>
        </w:rPr>
        <w:t>inamnistiable</w:t>
      </w:r>
      <w:proofErr w:type="spellEnd"/>
      <w:r w:rsidRPr="00381795">
        <w:rPr>
          <w:rFonts w:ascii="Bookman Old Style" w:hAnsi="Bookman Old Style" w:cs="Times New Roman"/>
          <w:sz w:val="24"/>
          <w:szCs w:val="24"/>
        </w:rPr>
        <w:t xml:space="preserve"> e imprescriptible por el transcurso del tiempo, no obstante en cuanto a la acción civil indemnizatoria impetrada por Lastra </w:t>
      </w:r>
      <w:proofErr w:type="spellStart"/>
      <w:r w:rsidRPr="00381795">
        <w:rPr>
          <w:rFonts w:ascii="Bookman Old Style" w:hAnsi="Bookman Old Style" w:cs="Times New Roman"/>
          <w:sz w:val="24"/>
          <w:szCs w:val="24"/>
        </w:rPr>
        <w:t>Goycolea</w:t>
      </w:r>
      <w:proofErr w:type="spellEnd"/>
      <w:r w:rsidRPr="00381795">
        <w:rPr>
          <w:rFonts w:ascii="Bookman Old Style" w:hAnsi="Bookman Old Style" w:cs="Times New Roman"/>
          <w:sz w:val="24"/>
          <w:szCs w:val="24"/>
        </w:rPr>
        <w:t>, ésta se encuentra prescrita por el paso del tiempo.</w:t>
      </w:r>
    </w:p>
    <w:p w:rsidR="00381795" w:rsidRPr="00381795" w:rsidRDefault="00381795" w:rsidP="00381795">
      <w:pPr>
        <w:spacing w:after="0"/>
        <w:ind w:left="426"/>
        <w:rPr>
          <w:rFonts w:ascii="Bookman Old Style" w:hAnsi="Bookman Old Style" w:cs="Times New Roman"/>
          <w:sz w:val="24"/>
          <w:szCs w:val="24"/>
        </w:rPr>
      </w:pPr>
    </w:p>
    <w:p w:rsidR="00381795" w:rsidRPr="00381795" w:rsidRDefault="00381795" w:rsidP="00381795">
      <w:pPr>
        <w:spacing w:after="0"/>
        <w:ind w:left="426"/>
        <w:rPr>
          <w:rFonts w:ascii="Bookman Old Style" w:hAnsi="Bookman Old Style" w:cs="Times New Roman"/>
          <w:sz w:val="24"/>
          <w:szCs w:val="24"/>
        </w:rPr>
      </w:pPr>
      <w:r w:rsidRPr="00381795">
        <w:rPr>
          <w:rFonts w:ascii="Bookman Old Style" w:hAnsi="Bookman Old Style" w:cs="Times New Roman"/>
          <w:sz w:val="24"/>
          <w:szCs w:val="24"/>
        </w:rPr>
        <w:t>Con su resolución revocatoria acogiendo la demanda civil del ex prisionero, la Séptima Sala recoge la jurisprudencia reit</w:t>
      </w:r>
      <w:r w:rsidR="009417E1">
        <w:rPr>
          <w:rFonts w:ascii="Bookman Old Style" w:hAnsi="Bookman Old Style" w:cs="Times New Roman"/>
          <w:sz w:val="24"/>
          <w:szCs w:val="24"/>
        </w:rPr>
        <w:t xml:space="preserve">erada, tanto de distintas Cortes de Apelaciones a nivel nacional, </w:t>
      </w:r>
      <w:r w:rsidRPr="00381795">
        <w:rPr>
          <w:rFonts w:ascii="Bookman Old Style" w:hAnsi="Bookman Old Style" w:cs="Times New Roman"/>
          <w:sz w:val="24"/>
          <w:szCs w:val="24"/>
        </w:rPr>
        <w:t xml:space="preserve">como de la Sala Penal de la E. Corte Suprema, en el sentido de que la acción civil </w:t>
      </w:r>
      <w:r w:rsidRPr="00381795">
        <w:rPr>
          <w:rFonts w:ascii="Bookman Old Style" w:hAnsi="Bookman Old Style" w:cs="Times New Roman"/>
          <w:sz w:val="24"/>
          <w:szCs w:val="24"/>
        </w:rPr>
        <w:lastRenderedPageBreak/>
        <w:t>indemnizatoria invocada por una persona como causa de un delito de lesa humanidad cometido en su contra, es absolutamente inherente al carácter del delito cometido y por tanto no prescribe jamás.</w:t>
      </w:r>
    </w:p>
    <w:p w:rsidR="00381795" w:rsidRPr="00381795" w:rsidRDefault="00381795" w:rsidP="00381795">
      <w:pPr>
        <w:spacing w:after="0"/>
        <w:ind w:left="426"/>
        <w:rPr>
          <w:rFonts w:ascii="Bookman Old Style" w:hAnsi="Bookman Old Style" w:cs="Times New Roman"/>
          <w:sz w:val="24"/>
          <w:szCs w:val="24"/>
        </w:rPr>
      </w:pPr>
      <w:r w:rsidRPr="00381795">
        <w:rPr>
          <w:rFonts w:ascii="Bookman Old Style" w:hAnsi="Bookman Old Style" w:cs="Times New Roman"/>
          <w:sz w:val="24"/>
          <w:szCs w:val="24"/>
        </w:rPr>
        <w:t>El ex prisionero don Ismael Lastra es una víctima calificada por el Estado a través de la Comisión Nacional de Prisión Política y Tortura.</w:t>
      </w:r>
    </w:p>
    <w:p w:rsidR="00381795" w:rsidRPr="00381795" w:rsidRDefault="00381795" w:rsidP="00381795">
      <w:pPr>
        <w:spacing w:after="0"/>
        <w:ind w:left="426"/>
        <w:rPr>
          <w:rFonts w:ascii="Bookman Old Style" w:hAnsi="Bookman Old Style" w:cs="Times New Roman"/>
          <w:sz w:val="24"/>
          <w:szCs w:val="24"/>
        </w:rPr>
      </w:pPr>
      <w:r w:rsidRPr="00381795">
        <w:rPr>
          <w:rFonts w:ascii="Bookman Old Style" w:hAnsi="Bookman Old Style" w:cs="Times New Roman"/>
          <w:sz w:val="24"/>
          <w:szCs w:val="24"/>
        </w:rPr>
        <w:t xml:space="preserve">El fallo fue acordado por la ministra doña Pilar Aguayo Pino, el fiscal judicial don Jorge </w:t>
      </w:r>
      <w:proofErr w:type="spellStart"/>
      <w:r w:rsidRPr="00381795">
        <w:rPr>
          <w:rFonts w:ascii="Bookman Old Style" w:hAnsi="Bookman Old Style" w:cs="Times New Roman"/>
          <w:sz w:val="24"/>
          <w:szCs w:val="24"/>
        </w:rPr>
        <w:t>Norambuena</w:t>
      </w:r>
      <w:proofErr w:type="spellEnd"/>
      <w:r w:rsidRPr="00381795">
        <w:rPr>
          <w:rFonts w:ascii="Bookman Old Style" w:hAnsi="Bookman Old Style" w:cs="Times New Roman"/>
          <w:sz w:val="24"/>
          <w:szCs w:val="24"/>
        </w:rPr>
        <w:t xml:space="preserve"> Carrillo y el abogado integrante don Jorge </w:t>
      </w:r>
      <w:proofErr w:type="spellStart"/>
      <w:r w:rsidRPr="00381795">
        <w:rPr>
          <w:rFonts w:ascii="Bookman Old Style" w:hAnsi="Bookman Old Style" w:cs="Times New Roman"/>
          <w:sz w:val="24"/>
          <w:szCs w:val="24"/>
        </w:rPr>
        <w:t>Norambuena</w:t>
      </w:r>
      <w:proofErr w:type="spellEnd"/>
      <w:r w:rsidRPr="00381795">
        <w:rPr>
          <w:rFonts w:ascii="Bookman Old Style" w:hAnsi="Bookman Old Style" w:cs="Times New Roman"/>
          <w:sz w:val="24"/>
          <w:szCs w:val="24"/>
        </w:rPr>
        <w:t xml:space="preserve"> Hernández.</w:t>
      </w:r>
    </w:p>
    <w:p w:rsidR="00806781" w:rsidRDefault="00B40D54" w:rsidP="00BA4DA3">
      <w:pPr>
        <w:spacing w:after="0"/>
        <w:ind w:left="426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La Unidad</w:t>
      </w:r>
      <w:r w:rsidR="00381795" w:rsidRPr="00381795">
        <w:rPr>
          <w:rFonts w:ascii="Bookman Old Style" w:hAnsi="Bookman Old Style" w:cs="Times New Roman"/>
          <w:sz w:val="24"/>
          <w:szCs w:val="24"/>
        </w:rPr>
        <w:t xml:space="preserve"> Progr</w:t>
      </w:r>
      <w:r w:rsidR="004E78C7">
        <w:rPr>
          <w:rFonts w:ascii="Bookman Old Style" w:hAnsi="Bookman Old Style" w:cs="Times New Roman"/>
          <w:sz w:val="24"/>
          <w:szCs w:val="24"/>
        </w:rPr>
        <w:t>ama de Derechos Humanos no intervino en esta causa por tratarse de torturas sufridas por una víctima sobreviviente.</w:t>
      </w:r>
      <w:r w:rsidR="00BA4DA3">
        <w:rPr>
          <w:rFonts w:ascii="Bookman Old Style" w:hAnsi="Bookman Old Style" w:cs="Times New Roman"/>
          <w:sz w:val="24"/>
          <w:szCs w:val="24"/>
        </w:rPr>
        <w:t xml:space="preserve"> Asimismo, la Unidad Programa de Derechos Humanos </w:t>
      </w:r>
      <w:r w:rsidR="00381795" w:rsidRPr="00381795">
        <w:rPr>
          <w:rFonts w:ascii="Bookman Old Style" w:hAnsi="Bookman Old Style" w:cs="Times New Roman"/>
          <w:sz w:val="24"/>
          <w:szCs w:val="24"/>
        </w:rPr>
        <w:t xml:space="preserve">no interviene en las demandas civiles indemnizatorias derivadas de los delitos de lesa humanidad. </w:t>
      </w:r>
      <w:r w:rsidR="00381795" w:rsidRPr="00C9541D">
        <w:rPr>
          <w:rFonts w:ascii="Bookman Old Style" w:hAnsi="Bookman Old Style" w:cs="Times New Roman"/>
          <w:i/>
          <w:sz w:val="24"/>
          <w:szCs w:val="24"/>
        </w:rPr>
        <w:t>(Se adjuntan ambas resoluciones).</w:t>
      </w:r>
    </w:p>
    <w:p w:rsidR="00381795" w:rsidRDefault="00381795" w:rsidP="00067AD8">
      <w:pPr>
        <w:spacing w:after="0"/>
        <w:ind w:left="426"/>
        <w:rPr>
          <w:rFonts w:ascii="Bookman Old Style" w:hAnsi="Bookman Old Style" w:cs="Times New Roman"/>
          <w:sz w:val="24"/>
          <w:szCs w:val="24"/>
        </w:rPr>
      </w:pPr>
    </w:p>
    <w:p w:rsidR="00313D57" w:rsidRDefault="00313D57" w:rsidP="00EE0361">
      <w:pPr>
        <w:spacing w:after="0"/>
        <w:ind w:left="426"/>
        <w:rPr>
          <w:rFonts w:ascii="Bookman Old Style" w:hAnsi="Bookman Old Style" w:cs="Times New Roman"/>
          <w:sz w:val="24"/>
          <w:szCs w:val="24"/>
        </w:rPr>
      </w:pPr>
    </w:p>
    <w:p w:rsidR="000107DB" w:rsidRDefault="001A6E85" w:rsidP="00EE0361">
      <w:pPr>
        <w:spacing w:after="0"/>
        <w:ind w:left="426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5</w:t>
      </w:r>
      <w:r w:rsidR="00571ECB">
        <w:rPr>
          <w:rFonts w:ascii="Bookman Old Style" w:hAnsi="Bookman Old Style" w:cs="Times New Roman"/>
          <w:sz w:val="24"/>
          <w:szCs w:val="24"/>
        </w:rPr>
        <w:t xml:space="preserve">.-   </w:t>
      </w:r>
      <w:r w:rsidR="000A35A7">
        <w:rPr>
          <w:rFonts w:ascii="Bookman Old Style" w:hAnsi="Bookman Old Style" w:cs="Times New Roman"/>
          <w:sz w:val="24"/>
          <w:szCs w:val="24"/>
        </w:rPr>
        <w:t xml:space="preserve">El 10 de febrero de 2017, la Primera Sala de la I. Corte de Apelaciones de Santiago condenó a los ex agentes de la DINA: César Manríquez Bravo, Pedro Espinoza y Raúl Iturriaga Neumann, a la pena de 7 años de presidio; Orlando Manzo Durán, a 5 años y un día de presidio; y a Luis Pavez Parra, a 3 años y un día </w:t>
      </w:r>
      <w:r w:rsidR="00EB17FA">
        <w:rPr>
          <w:rFonts w:ascii="Bookman Old Style" w:hAnsi="Bookman Old Style" w:cs="Times New Roman"/>
          <w:sz w:val="24"/>
          <w:szCs w:val="24"/>
        </w:rPr>
        <w:t xml:space="preserve">de presidio, concediéndole </w:t>
      </w:r>
      <w:r w:rsidR="006A22DD">
        <w:rPr>
          <w:rFonts w:ascii="Bookman Old Style" w:hAnsi="Bookman Old Style" w:cs="Times New Roman"/>
          <w:sz w:val="24"/>
          <w:szCs w:val="24"/>
        </w:rPr>
        <w:t xml:space="preserve">sólo </w:t>
      </w:r>
      <w:r w:rsidR="00EB17FA">
        <w:rPr>
          <w:rFonts w:ascii="Bookman Old Style" w:hAnsi="Bookman Old Style" w:cs="Times New Roman"/>
          <w:sz w:val="24"/>
          <w:szCs w:val="24"/>
        </w:rPr>
        <w:t xml:space="preserve">a éste </w:t>
      </w:r>
      <w:r w:rsidR="008D0DCE">
        <w:rPr>
          <w:rFonts w:ascii="Bookman Old Style" w:hAnsi="Bookman Old Style" w:cs="Times New Roman"/>
          <w:sz w:val="24"/>
          <w:szCs w:val="24"/>
        </w:rPr>
        <w:t xml:space="preserve">último </w:t>
      </w:r>
      <w:r w:rsidR="000A35A7">
        <w:rPr>
          <w:rFonts w:ascii="Bookman Old Style" w:hAnsi="Bookman Old Style" w:cs="Times New Roman"/>
          <w:sz w:val="24"/>
          <w:szCs w:val="24"/>
        </w:rPr>
        <w:t>el</w:t>
      </w:r>
      <w:r w:rsidR="00AD4D01">
        <w:rPr>
          <w:rFonts w:ascii="Bookman Old Style" w:hAnsi="Bookman Old Style" w:cs="Times New Roman"/>
          <w:sz w:val="24"/>
          <w:szCs w:val="24"/>
        </w:rPr>
        <w:t xml:space="preserve"> beneficio de libertad vigilada.</w:t>
      </w:r>
      <w:r w:rsidR="000A35A7">
        <w:rPr>
          <w:rFonts w:ascii="Bookman Old Style" w:hAnsi="Bookman Old Style" w:cs="Times New Roman"/>
          <w:sz w:val="24"/>
          <w:szCs w:val="24"/>
        </w:rPr>
        <w:t xml:space="preserve"> </w:t>
      </w:r>
      <w:r w:rsidR="00AD4D01">
        <w:rPr>
          <w:rFonts w:ascii="Bookman Old Style" w:hAnsi="Bookman Old Style" w:cs="Times New Roman"/>
          <w:sz w:val="24"/>
          <w:szCs w:val="24"/>
        </w:rPr>
        <w:t xml:space="preserve">Las condenas fueron motivadas </w:t>
      </w:r>
      <w:r w:rsidR="000A35A7">
        <w:rPr>
          <w:rFonts w:ascii="Bookman Old Style" w:hAnsi="Bookman Old Style" w:cs="Times New Roman"/>
          <w:sz w:val="24"/>
          <w:szCs w:val="24"/>
        </w:rPr>
        <w:t xml:space="preserve">por el secuestro calificado de </w:t>
      </w:r>
      <w:r w:rsidR="00AD4D01">
        <w:rPr>
          <w:rFonts w:ascii="Bookman Old Style" w:hAnsi="Bookman Old Style" w:cs="Times New Roman"/>
          <w:sz w:val="24"/>
          <w:szCs w:val="24"/>
        </w:rPr>
        <w:t xml:space="preserve">don </w:t>
      </w:r>
      <w:r w:rsidR="000A35A7">
        <w:rPr>
          <w:rFonts w:ascii="Bookman Old Style" w:hAnsi="Bookman Old Style" w:cs="Times New Roman"/>
          <w:sz w:val="24"/>
          <w:szCs w:val="24"/>
        </w:rPr>
        <w:t xml:space="preserve">Arturo Barría Araneda, ocurrido a partir del </w:t>
      </w:r>
      <w:r w:rsidR="000A34DA">
        <w:rPr>
          <w:rFonts w:ascii="Bookman Old Style" w:hAnsi="Bookman Old Style" w:cs="Times New Roman"/>
          <w:sz w:val="24"/>
          <w:szCs w:val="24"/>
        </w:rPr>
        <w:t>28 de agosto de 1974</w:t>
      </w:r>
      <w:r w:rsidR="000107DB">
        <w:rPr>
          <w:rFonts w:ascii="Bookman Old Style" w:hAnsi="Bookman Old Style" w:cs="Times New Roman"/>
          <w:sz w:val="24"/>
          <w:szCs w:val="24"/>
        </w:rPr>
        <w:t xml:space="preserve"> en el marco de la llamada “Operación Colombo” de 119 detenidos desaparecidos.</w:t>
      </w:r>
      <w:r w:rsidR="00067AD8">
        <w:rPr>
          <w:rFonts w:ascii="Bookman Old Style" w:hAnsi="Bookman Old Style" w:cs="Times New Roman"/>
          <w:sz w:val="24"/>
          <w:szCs w:val="24"/>
        </w:rPr>
        <w:t xml:space="preserve"> </w:t>
      </w:r>
      <w:r w:rsidR="000107DB">
        <w:rPr>
          <w:rFonts w:ascii="Bookman Old Style" w:hAnsi="Bookman Old Style" w:cs="Times New Roman"/>
          <w:sz w:val="24"/>
          <w:szCs w:val="24"/>
        </w:rPr>
        <w:t>La Sala absolvió a otros 59 ex agentes.</w:t>
      </w:r>
    </w:p>
    <w:p w:rsidR="000107DB" w:rsidRDefault="00991023" w:rsidP="000107DB">
      <w:pPr>
        <w:spacing w:after="0"/>
        <w:ind w:left="426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La Unidad de </w:t>
      </w:r>
      <w:r w:rsidR="000107DB">
        <w:rPr>
          <w:rFonts w:ascii="Bookman Old Style" w:hAnsi="Bookman Old Style" w:cs="Times New Roman"/>
          <w:sz w:val="24"/>
          <w:szCs w:val="24"/>
        </w:rPr>
        <w:t xml:space="preserve">Programa de Derechos Humanos es parte en esta causa. </w:t>
      </w:r>
      <w:r w:rsidR="000107DB">
        <w:rPr>
          <w:rFonts w:ascii="Bookman Old Style" w:hAnsi="Bookman Old Style" w:cs="Times New Roman"/>
          <w:i/>
          <w:sz w:val="24"/>
          <w:szCs w:val="24"/>
        </w:rPr>
        <w:t>(Se adjunta resolución).</w:t>
      </w:r>
    </w:p>
    <w:p w:rsidR="00F04EFF" w:rsidRDefault="00F04EFF" w:rsidP="000107DB">
      <w:pPr>
        <w:spacing w:after="0"/>
        <w:ind w:left="426"/>
        <w:rPr>
          <w:rFonts w:ascii="Bookman Old Style" w:hAnsi="Bookman Old Style" w:cs="Times New Roman"/>
          <w:i/>
          <w:sz w:val="24"/>
          <w:szCs w:val="24"/>
        </w:rPr>
      </w:pPr>
    </w:p>
    <w:p w:rsidR="00313D57" w:rsidRDefault="00313D57" w:rsidP="00EE0361">
      <w:pPr>
        <w:spacing w:after="0"/>
        <w:ind w:left="426"/>
        <w:rPr>
          <w:rFonts w:ascii="Bookman Old Style" w:hAnsi="Bookman Old Style" w:cs="Times New Roman"/>
          <w:sz w:val="24"/>
          <w:szCs w:val="24"/>
        </w:rPr>
      </w:pPr>
    </w:p>
    <w:p w:rsidR="003D1BCB" w:rsidRDefault="003D1BCB" w:rsidP="00EE0361">
      <w:pPr>
        <w:spacing w:after="0"/>
        <w:ind w:left="426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6.-   </w:t>
      </w:r>
      <w:r w:rsidR="00276DB1">
        <w:rPr>
          <w:rFonts w:ascii="Bookman Old Style" w:hAnsi="Bookman Old Style" w:cs="Times New Roman"/>
          <w:sz w:val="24"/>
          <w:szCs w:val="24"/>
        </w:rPr>
        <w:t xml:space="preserve">El 15 de febrero de 2017, en votación dividida, la Sala Penal de la E. Corte Suprema revocó la decisión denegatoria de la Quinta Sala de la I. Corte </w:t>
      </w:r>
      <w:r w:rsidR="00080F74">
        <w:rPr>
          <w:rFonts w:ascii="Bookman Old Style" w:hAnsi="Bookman Old Style" w:cs="Times New Roman"/>
          <w:sz w:val="24"/>
          <w:szCs w:val="24"/>
        </w:rPr>
        <w:t>de Apelaciones de Santiago, y</w:t>
      </w:r>
      <w:r w:rsidR="00276DB1">
        <w:rPr>
          <w:rFonts w:ascii="Bookman Old Style" w:hAnsi="Bookman Old Style" w:cs="Times New Roman"/>
          <w:sz w:val="24"/>
          <w:szCs w:val="24"/>
        </w:rPr>
        <w:t xml:space="preserve"> acogió el recurso de amparo del</w:t>
      </w:r>
      <w:r w:rsidR="00C5545D">
        <w:rPr>
          <w:rFonts w:ascii="Bookman Old Style" w:hAnsi="Bookman Old Style" w:cs="Times New Roman"/>
          <w:sz w:val="24"/>
          <w:szCs w:val="24"/>
        </w:rPr>
        <w:t xml:space="preserve"> ex agente suboficial de Carabineros (R), Francisco Toledo Puente, interno del Penal de Punta Peuco, concediéndole el beneficio de la libertad condicional para terminar de cumplir su condena.</w:t>
      </w:r>
    </w:p>
    <w:p w:rsidR="000241ED" w:rsidRDefault="000241ED" w:rsidP="00203682">
      <w:pPr>
        <w:spacing w:after="0"/>
        <w:ind w:left="426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A favor votaron los ministros don Carlos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Künsemüller</w:t>
      </w:r>
      <w:proofErr w:type="spellEnd"/>
      <w:r>
        <w:rPr>
          <w:rFonts w:ascii="Bookman Old Style" w:hAnsi="Bookman Old Style" w:cs="Times New Roman"/>
          <w:sz w:val="24"/>
          <w:szCs w:val="24"/>
        </w:rPr>
        <w:t>, don Haroldo Brito y don Lamberto Cisternas, y en contra lo hicieron la ministra doña Andrea Muñoz y el ministro don Carlos Cerda.</w:t>
      </w:r>
    </w:p>
    <w:p w:rsidR="000241ED" w:rsidRDefault="000241ED" w:rsidP="00724A4A">
      <w:pPr>
        <w:spacing w:after="0"/>
        <w:ind w:left="426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La resolución de mayoría consideró los informes de conducta de Gendarmería respecto del interno, los que la calificaron de “muy </w:t>
      </w:r>
      <w:r>
        <w:rPr>
          <w:rFonts w:ascii="Bookman Old Style" w:hAnsi="Bookman Old Style" w:cs="Times New Roman"/>
          <w:sz w:val="24"/>
          <w:szCs w:val="24"/>
        </w:rPr>
        <w:lastRenderedPageBreak/>
        <w:t>buena”</w:t>
      </w:r>
      <w:r w:rsidR="00F14B13">
        <w:rPr>
          <w:rFonts w:ascii="Bookman Old Style" w:hAnsi="Bookman Old Style" w:cs="Times New Roman"/>
          <w:sz w:val="24"/>
          <w:szCs w:val="24"/>
        </w:rPr>
        <w:t xml:space="preserve"> y que el ex agente reú</w:t>
      </w:r>
      <w:r w:rsidR="00080F74">
        <w:rPr>
          <w:rFonts w:ascii="Bookman Old Style" w:hAnsi="Bookman Old Style" w:cs="Times New Roman"/>
          <w:sz w:val="24"/>
          <w:szCs w:val="24"/>
        </w:rPr>
        <w:t>ne</w:t>
      </w:r>
      <w:r w:rsidR="006D7E43">
        <w:rPr>
          <w:rFonts w:ascii="Bookman Old Style" w:hAnsi="Bookman Old Style" w:cs="Times New Roman"/>
          <w:sz w:val="24"/>
          <w:szCs w:val="24"/>
        </w:rPr>
        <w:t xml:space="preserve"> los requisitos de tiempo cumplido para acceder al beneficio.</w:t>
      </w:r>
      <w:r w:rsidR="00724A4A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i/>
          <w:sz w:val="24"/>
          <w:szCs w:val="24"/>
        </w:rPr>
        <w:t>(Se adjunta</w:t>
      </w:r>
      <w:r w:rsidR="00F069AC">
        <w:rPr>
          <w:rFonts w:ascii="Bookman Old Style" w:hAnsi="Bookman Old Style" w:cs="Times New Roman"/>
          <w:i/>
          <w:sz w:val="24"/>
          <w:szCs w:val="24"/>
        </w:rPr>
        <w:t>n</w:t>
      </w:r>
      <w:r>
        <w:rPr>
          <w:rFonts w:ascii="Bookman Old Style" w:hAnsi="Bookman Old Style" w:cs="Times New Roman"/>
          <w:i/>
          <w:sz w:val="24"/>
          <w:szCs w:val="24"/>
        </w:rPr>
        <w:t xml:space="preserve"> ambas resoluciones).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C5545D" w:rsidRPr="003D1BCB" w:rsidRDefault="00C5545D" w:rsidP="00203682">
      <w:pPr>
        <w:spacing w:after="0"/>
        <w:ind w:left="426"/>
        <w:rPr>
          <w:rFonts w:ascii="Bookman Old Style" w:hAnsi="Bookman Old Style" w:cs="Times New Roman"/>
          <w:sz w:val="24"/>
          <w:szCs w:val="24"/>
        </w:rPr>
      </w:pPr>
    </w:p>
    <w:p w:rsidR="000A35A7" w:rsidRDefault="000A35A7" w:rsidP="000A35A7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85FF6" w:rsidRDefault="00E85FF6" w:rsidP="000A35A7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85FF6" w:rsidRPr="000A35A7" w:rsidRDefault="00E85FF6" w:rsidP="000A35A7">
      <w:pPr>
        <w:spacing w:after="0"/>
        <w:rPr>
          <w:rFonts w:ascii="Bookman Old Style" w:hAnsi="Bookman Old Style" w:cs="Times New Roman"/>
          <w:sz w:val="24"/>
          <w:szCs w:val="24"/>
        </w:rPr>
      </w:pPr>
    </w:p>
    <w:sectPr w:rsidR="00E85FF6" w:rsidRPr="000A35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57"/>
    <w:rsid w:val="000068C7"/>
    <w:rsid w:val="000107DB"/>
    <w:rsid w:val="000241ED"/>
    <w:rsid w:val="00055249"/>
    <w:rsid w:val="00067AD8"/>
    <w:rsid w:val="00080F74"/>
    <w:rsid w:val="000978A0"/>
    <w:rsid w:val="000A34DA"/>
    <w:rsid w:val="000A35A7"/>
    <w:rsid w:val="000A4738"/>
    <w:rsid w:val="000D4AB6"/>
    <w:rsid w:val="001002C3"/>
    <w:rsid w:val="0012656A"/>
    <w:rsid w:val="001A6E85"/>
    <w:rsid w:val="00203682"/>
    <w:rsid w:val="00252401"/>
    <w:rsid w:val="00276DB1"/>
    <w:rsid w:val="00294862"/>
    <w:rsid w:val="002A20B4"/>
    <w:rsid w:val="002B4796"/>
    <w:rsid w:val="002B5DB2"/>
    <w:rsid w:val="002E29C3"/>
    <w:rsid w:val="002E72F4"/>
    <w:rsid w:val="00313D57"/>
    <w:rsid w:val="00381795"/>
    <w:rsid w:val="003D1BCB"/>
    <w:rsid w:val="00425204"/>
    <w:rsid w:val="00450614"/>
    <w:rsid w:val="004A732E"/>
    <w:rsid w:val="004E5DB7"/>
    <w:rsid w:val="004E78C7"/>
    <w:rsid w:val="004F4D59"/>
    <w:rsid w:val="005111F9"/>
    <w:rsid w:val="00571ECB"/>
    <w:rsid w:val="005818D7"/>
    <w:rsid w:val="0059200D"/>
    <w:rsid w:val="005D5CF5"/>
    <w:rsid w:val="005E09F2"/>
    <w:rsid w:val="006821CD"/>
    <w:rsid w:val="00684728"/>
    <w:rsid w:val="006A22DD"/>
    <w:rsid w:val="006D7E43"/>
    <w:rsid w:val="006F2457"/>
    <w:rsid w:val="00724A4A"/>
    <w:rsid w:val="007812DB"/>
    <w:rsid w:val="00806781"/>
    <w:rsid w:val="0082202A"/>
    <w:rsid w:val="008D0DCE"/>
    <w:rsid w:val="008E5D9D"/>
    <w:rsid w:val="008F53D5"/>
    <w:rsid w:val="00914BB7"/>
    <w:rsid w:val="0093552C"/>
    <w:rsid w:val="009417E1"/>
    <w:rsid w:val="009567E0"/>
    <w:rsid w:val="00956E55"/>
    <w:rsid w:val="009608DB"/>
    <w:rsid w:val="00971454"/>
    <w:rsid w:val="00991023"/>
    <w:rsid w:val="009F6408"/>
    <w:rsid w:val="00A040C8"/>
    <w:rsid w:val="00A44AE9"/>
    <w:rsid w:val="00A605D8"/>
    <w:rsid w:val="00AD4D01"/>
    <w:rsid w:val="00AD78A3"/>
    <w:rsid w:val="00B05F57"/>
    <w:rsid w:val="00B40D54"/>
    <w:rsid w:val="00B93A69"/>
    <w:rsid w:val="00BA4DA3"/>
    <w:rsid w:val="00BC009B"/>
    <w:rsid w:val="00BD23EA"/>
    <w:rsid w:val="00BE06AA"/>
    <w:rsid w:val="00C20106"/>
    <w:rsid w:val="00C5545D"/>
    <w:rsid w:val="00C57F55"/>
    <w:rsid w:val="00C8109A"/>
    <w:rsid w:val="00C9541D"/>
    <w:rsid w:val="00CC3E28"/>
    <w:rsid w:val="00D95581"/>
    <w:rsid w:val="00D9746E"/>
    <w:rsid w:val="00DC50EB"/>
    <w:rsid w:val="00DC7ADB"/>
    <w:rsid w:val="00DE7861"/>
    <w:rsid w:val="00E32984"/>
    <w:rsid w:val="00E36F7F"/>
    <w:rsid w:val="00E85FF6"/>
    <w:rsid w:val="00EA2BB1"/>
    <w:rsid w:val="00EB17FA"/>
    <w:rsid w:val="00EE0361"/>
    <w:rsid w:val="00EE7F68"/>
    <w:rsid w:val="00F01F21"/>
    <w:rsid w:val="00F04EFF"/>
    <w:rsid w:val="00F069AC"/>
    <w:rsid w:val="00F14B13"/>
    <w:rsid w:val="00F4479B"/>
    <w:rsid w:val="00F46222"/>
    <w:rsid w:val="00F63950"/>
    <w:rsid w:val="00FA1D70"/>
    <w:rsid w:val="00FA6E97"/>
    <w:rsid w:val="00FC55AF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988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Escalante Hidalgo</dc:creator>
  <cp:lastModifiedBy>Jorge Escalante Hidalgo</cp:lastModifiedBy>
  <cp:revision>116</cp:revision>
  <dcterms:created xsi:type="dcterms:W3CDTF">2017-02-14T12:53:00Z</dcterms:created>
  <dcterms:modified xsi:type="dcterms:W3CDTF">2017-02-17T20:17:00Z</dcterms:modified>
</cp:coreProperties>
</file>